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42" w:rsidRPr="004E4B6C" w:rsidRDefault="00E01142" w:rsidP="00E01142">
      <w:pPr>
        <w:spacing w:after="0" w:line="312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34495E"/>
          <w:kern w:val="36"/>
          <w:sz w:val="36"/>
          <w:szCs w:val="36"/>
          <w:lang w:val="ru-RU"/>
        </w:rPr>
      </w:pPr>
      <w:r w:rsidRPr="00E01142">
        <w:rPr>
          <w:rFonts w:ascii="Lato" w:eastAsia="Times New Roman" w:hAnsi="Lato" w:cs="Times New Roman"/>
          <w:b/>
          <w:bCs/>
          <w:color w:val="34495E"/>
          <w:kern w:val="36"/>
          <w:sz w:val="36"/>
          <w:szCs w:val="36"/>
          <w:lang w:val="ru-RU"/>
        </w:rPr>
        <w:t>Придаточные подлежащные</w:t>
      </w:r>
      <w:r>
        <w:rPr>
          <w:rFonts w:ascii="Lato" w:eastAsia="Times New Roman" w:hAnsi="Lato" w:cs="Times New Roman"/>
          <w:b/>
          <w:bCs/>
          <w:color w:val="34495E"/>
          <w:kern w:val="36"/>
          <w:sz w:val="36"/>
          <w:szCs w:val="36"/>
          <w:lang/>
        </w:rPr>
        <w:t xml:space="preserve"> и </w:t>
      </w:r>
      <w:r w:rsidRPr="004E4B6C">
        <w:rPr>
          <w:rFonts w:ascii="inherit" w:eastAsia="Times New Roman" w:hAnsi="inherit" w:cs="Times New Roman"/>
          <w:b/>
          <w:bCs/>
          <w:color w:val="34495E"/>
          <w:kern w:val="36"/>
          <w:sz w:val="36"/>
          <w:szCs w:val="36"/>
          <w:lang w:val="ru-RU"/>
        </w:rPr>
        <w:t xml:space="preserve">дополнительные </w:t>
      </w:r>
    </w:p>
    <w:p w:rsidR="00E01142" w:rsidRPr="00E01142" w:rsidRDefault="00E01142" w:rsidP="00E01142">
      <w:pPr>
        <w:spacing w:after="0" w:line="240" w:lineRule="auto"/>
        <w:textAlignment w:val="baseline"/>
        <w:outlineLvl w:val="0"/>
        <w:rPr>
          <w:rFonts w:ascii="Lato" w:eastAsia="Times New Roman" w:hAnsi="Lato" w:cs="Times New Roman"/>
          <w:b/>
          <w:bCs/>
          <w:color w:val="34495E"/>
          <w:kern w:val="36"/>
          <w:sz w:val="36"/>
          <w:szCs w:val="36"/>
          <w:lang w:val="ru-RU"/>
        </w:rPr>
      </w:pPr>
    </w:p>
    <w:p w:rsidR="00E01142" w:rsidRPr="00E01142" w:rsidRDefault="00E01142" w:rsidP="00E01142">
      <w:pPr>
        <w:spacing w:after="9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E01142">
        <w:rPr>
          <w:rFonts w:ascii="Lato" w:eastAsia="Times New Roman" w:hAnsi="Lato" w:cs="Times New Roman"/>
          <w:b/>
          <w:bCs/>
          <w:color w:val="635274"/>
          <w:sz w:val="29"/>
          <w:szCs w:val="29"/>
          <w:shd w:val="clear" w:color="auto" w:fill="BEDDEE"/>
          <w:lang w:val="ru-RU"/>
        </w:rPr>
        <w:t>1.</w:t>
      </w:r>
      <w:r w:rsidRPr="00E01142">
        <w:rPr>
          <w:rFonts w:ascii="Lato" w:eastAsia="Times New Roman" w:hAnsi="Lato" w:cs="Times New Roman"/>
          <w:b/>
          <w:bCs/>
          <w:color w:val="635274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Вопросы: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придаточные подлежащные отвечают на вопросы подлежащего: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кто? что?</w:t>
      </w:r>
    </w:p>
    <w:p w:rsidR="00E01142" w:rsidRPr="00E01142" w:rsidRDefault="00E01142" w:rsidP="00E01142">
      <w:pPr>
        <w:spacing w:after="9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</w:rPr>
      </w:pPr>
      <w:r w:rsidRPr="00E01142">
        <w:rPr>
          <w:rFonts w:ascii="Lato" w:eastAsia="Times New Roman" w:hAnsi="Lato" w:cs="Times New Roman"/>
          <w:bCs/>
          <w:color w:val="635274"/>
          <w:sz w:val="29"/>
          <w:szCs w:val="29"/>
          <w:shd w:val="clear" w:color="auto" w:fill="BEDDEE"/>
        </w:rPr>
        <w:t>2.</w:t>
      </w:r>
      <w:r w:rsidRPr="00E01142">
        <w:rPr>
          <w:rFonts w:ascii="Lato" w:eastAsia="Times New Roman" w:hAnsi="Lato" w:cs="Times New Roman"/>
          <w:bCs/>
          <w:color w:val="635274"/>
          <w:sz w:val="24"/>
          <w:szCs w:val="24"/>
        </w:rPr>
        <w:t> </w:t>
      </w:r>
      <w:proofErr w:type="spellStart"/>
      <w:r w:rsidRPr="00E01142">
        <w:rPr>
          <w:rFonts w:ascii="Lato" w:eastAsia="Times New Roman" w:hAnsi="Lato" w:cs="Times New Roman"/>
          <w:bCs/>
          <w:color w:val="635274"/>
          <w:sz w:val="24"/>
          <w:szCs w:val="24"/>
        </w:rPr>
        <w:t>Главное</w:t>
      </w:r>
      <w:proofErr w:type="spellEnd"/>
      <w:r w:rsidRPr="00E01142">
        <w:rPr>
          <w:rFonts w:ascii="Lato" w:eastAsia="Times New Roman" w:hAnsi="Lato" w:cs="Times New Roman"/>
          <w:bCs/>
          <w:color w:val="635274"/>
          <w:sz w:val="24"/>
          <w:szCs w:val="24"/>
        </w:rPr>
        <w:t xml:space="preserve"> </w:t>
      </w:r>
      <w:proofErr w:type="spellStart"/>
      <w:r w:rsidRPr="00E01142">
        <w:rPr>
          <w:rFonts w:ascii="Lato" w:eastAsia="Times New Roman" w:hAnsi="Lato" w:cs="Times New Roman"/>
          <w:bCs/>
          <w:color w:val="635274"/>
          <w:sz w:val="24"/>
          <w:szCs w:val="24"/>
        </w:rPr>
        <w:t>слово</w:t>
      </w:r>
      <w:proofErr w:type="spellEnd"/>
      <w:r w:rsidRPr="00E01142">
        <w:rPr>
          <w:rFonts w:ascii="Lato" w:eastAsia="Times New Roman" w:hAnsi="Lato" w:cs="Times New Roman"/>
          <w:bCs/>
          <w:color w:val="635274"/>
          <w:sz w:val="24"/>
          <w:szCs w:val="24"/>
        </w:rPr>
        <w:t>:</w:t>
      </w:r>
    </w:p>
    <w:p w:rsidR="00E01142" w:rsidRPr="00E01142" w:rsidRDefault="00E01142" w:rsidP="00E01142">
      <w:pPr>
        <w:numPr>
          <w:ilvl w:val="0"/>
          <w:numId w:val="8"/>
        </w:numPr>
        <w:spacing w:after="9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придаточные подлежащные относятся к подлежащему главного предложения, выраженному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местоимением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: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тот, то, всякий, каждый, любой, весь, всё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и др.:</w:t>
      </w:r>
    </w:p>
    <w:p w:rsidR="00E01142" w:rsidRPr="00E01142" w:rsidRDefault="00E01142" w:rsidP="00E01142">
      <w:pPr>
        <w:spacing w:after="90" w:line="240" w:lineRule="auto"/>
        <w:ind w:left="102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Каждый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[кто?],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кого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 здесь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видел,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обладал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своим особым познанием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(Федин);</w:t>
      </w:r>
    </w:p>
    <w:p w:rsidR="00E01142" w:rsidRPr="00E01142" w:rsidRDefault="00E01142" w:rsidP="00E01142">
      <w:pPr>
        <w:numPr>
          <w:ilvl w:val="0"/>
          <w:numId w:val="8"/>
        </w:numPr>
        <w:spacing w:after="9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в главном предложении может не быть подлежащего, тогда придаточное предложение будет выполнять функцию подлежащего по отношению к сказуемому главного предложения. Сказуемое может быть выражено глаголом или наречием, требующим ответа на вопрос именительного падежа – что?.</w:t>
      </w:r>
    </w:p>
    <w:p w:rsidR="00E01142" w:rsidRPr="00E01142" w:rsidRDefault="00E01142" w:rsidP="00E01142">
      <w:pPr>
        <w:spacing w:after="90" w:line="240" w:lineRule="auto"/>
        <w:ind w:left="102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Ср.: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Известно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[что?],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слоны в диковинку у нас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(Крылов). –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Это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известно;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То,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слоны в диковинку у нас,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известно.</w:t>
      </w:r>
    </w:p>
    <w:p w:rsidR="00E01142" w:rsidRPr="00E01142" w:rsidRDefault="00E01142" w:rsidP="00E01142">
      <w:pPr>
        <w:spacing w:after="9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</w:rPr>
      </w:pPr>
      <w:r w:rsidRPr="00E01142">
        <w:rPr>
          <w:rFonts w:ascii="Lato" w:eastAsia="Times New Roman" w:hAnsi="Lato" w:cs="Times New Roman"/>
          <w:b/>
          <w:bCs/>
          <w:color w:val="635274"/>
          <w:sz w:val="29"/>
          <w:szCs w:val="29"/>
          <w:shd w:val="clear" w:color="auto" w:fill="BEDDEE"/>
        </w:rPr>
        <w:t>3.</w:t>
      </w:r>
      <w:r w:rsidRPr="00E01142">
        <w:rPr>
          <w:rFonts w:ascii="Lato" w:eastAsia="Times New Roman" w:hAnsi="Lato" w:cs="Times New Roman"/>
          <w:b/>
          <w:bCs/>
          <w:color w:val="635274"/>
          <w:sz w:val="24"/>
          <w:szCs w:val="24"/>
        </w:rPr>
        <w:t> </w:t>
      </w:r>
      <w:proofErr w:type="spellStart"/>
      <w:r w:rsidRPr="00E01142">
        <w:rPr>
          <w:rFonts w:ascii="Lato" w:eastAsia="Times New Roman" w:hAnsi="Lato" w:cs="Times New Roman"/>
          <w:b/>
          <w:bCs/>
          <w:color w:val="635274"/>
          <w:sz w:val="24"/>
          <w:szCs w:val="24"/>
        </w:rPr>
        <w:t>Средства</w:t>
      </w:r>
      <w:proofErr w:type="spellEnd"/>
      <w:r w:rsidRPr="00E01142">
        <w:rPr>
          <w:rFonts w:ascii="Lato" w:eastAsia="Times New Roman" w:hAnsi="Lato" w:cs="Times New Roman"/>
          <w:b/>
          <w:bCs/>
          <w:color w:val="635274"/>
          <w:sz w:val="24"/>
          <w:szCs w:val="24"/>
        </w:rPr>
        <w:t xml:space="preserve"> </w:t>
      </w:r>
      <w:proofErr w:type="spellStart"/>
      <w:r w:rsidRPr="00E01142">
        <w:rPr>
          <w:rFonts w:ascii="Lato" w:eastAsia="Times New Roman" w:hAnsi="Lato" w:cs="Times New Roman"/>
          <w:b/>
          <w:bCs/>
          <w:color w:val="635274"/>
          <w:sz w:val="24"/>
          <w:szCs w:val="24"/>
        </w:rPr>
        <w:t>связи</w:t>
      </w:r>
      <w:proofErr w:type="spellEnd"/>
      <w:r w:rsidRPr="00E01142">
        <w:rPr>
          <w:rFonts w:ascii="Lato" w:eastAsia="Times New Roman" w:hAnsi="Lato" w:cs="Times New Roman"/>
          <w:b/>
          <w:bCs/>
          <w:color w:val="635274"/>
          <w:sz w:val="24"/>
          <w:szCs w:val="24"/>
        </w:rPr>
        <w:t>:</w:t>
      </w:r>
    </w:p>
    <w:p w:rsidR="00E01142" w:rsidRPr="00E01142" w:rsidRDefault="00E01142" w:rsidP="00E01142">
      <w:pPr>
        <w:numPr>
          <w:ilvl w:val="0"/>
          <w:numId w:val="9"/>
        </w:numPr>
        <w:spacing w:after="9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если в главном предложении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есть подлежащее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– местоимение, то придаточные подлежащные прикрепляются к главному предложению с помощью союзных слов (</w:t>
      </w:r>
      <w:r w:rsidRPr="00E01142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кто, что, который, какой, где, куда, когда, как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) или союзов (</w:t>
      </w:r>
      <w:r w:rsidRPr="00E01142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что, чтобы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):</w:t>
      </w:r>
    </w:p>
    <w:p w:rsidR="00E01142" w:rsidRPr="00E01142" w:rsidRDefault="00E01142" w:rsidP="00E01142">
      <w:pPr>
        <w:spacing w:after="90" w:line="240" w:lineRule="auto"/>
        <w:ind w:left="102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Кто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знает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этого человека,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тот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не любит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 ним много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говорить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(Помяловский) – союзное слово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кто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;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Всё,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полагалось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в дорогу,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было собрано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(Бабаевский) – союзное слово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;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Особенно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было страшно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то, что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над огнём, в дыму,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летали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голуби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(Чехов) – союз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;</w:t>
      </w:r>
    </w:p>
    <w:p w:rsidR="00E01142" w:rsidRPr="00E01142" w:rsidRDefault="00E01142" w:rsidP="00E01142">
      <w:pPr>
        <w:numPr>
          <w:ilvl w:val="0"/>
          <w:numId w:val="9"/>
        </w:numPr>
        <w:spacing w:after="9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если в главном предложении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нет подлежащего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, то придаточные подлежащные прикрепляются к главному предложению с помощью союзов (</w:t>
      </w:r>
      <w:r w:rsidRPr="00E01142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что, как, будто, как будто, чтобы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), союза-частицы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ли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или союзных слов (</w:t>
      </w:r>
      <w:r w:rsidRPr="00E01142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кто, что, где, куда, когда, как, который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и др.):</w:t>
      </w:r>
    </w:p>
    <w:p w:rsidR="00E01142" w:rsidRPr="00E01142" w:rsidRDefault="00E01142" w:rsidP="00E01142">
      <w:pPr>
        <w:spacing w:after="90" w:line="240" w:lineRule="auto"/>
        <w:ind w:left="102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Его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забавляло,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староста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(Чехов) – союз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;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Нужно,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чтобы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байдара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поднимала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большой груз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(Сёмушкин) – союз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чтобы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;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Андрея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поразило,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как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изменился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Степан Бояркин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за одни сутки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(Попов) – союзное слово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как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.</w:t>
      </w:r>
    </w:p>
    <w:p w:rsidR="00E01142" w:rsidRPr="00E01142" w:rsidRDefault="00E01142" w:rsidP="00E01142">
      <w:pPr>
        <w:spacing w:after="9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E01142">
        <w:rPr>
          <w:rFonts w:ascii="Lato" w:eastAsia="Times New Roman" w:hAnsi="Lato" w:cs="Times New Roman"/>
          <w:b/>
          <w:bCs/>
          <w:color w:val="635274"/>
          <w:sz w:val="29"/>
          <w:szCs w:val="29"/>
          <w:shd w:val="clear" w:color="auto" w:fill="BEDDEE"/>
          <w:lang w:val="ru-RU"/>
        </w:rPr>
        <w:t>4.</w:t>
      </w:r>
      <w:r w:rsidRPr="00E01142">
        <w:rPr>
          <w:rFonts w:ascii="Lato" w:eastAsia="Times New Roman" w:hAnsi="Lato" w:cs="Times New Roman"/>
          <w:b/>
          <w:bCs/>
          <w:color w:val="635274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Место в предложении: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придаточное подлежащное может стоять после главного предложения, в середине главного предложения, перед главным предложением.</w:t>
      </w:r>
    </w:p>
    <w:p w:rsidR="00E01142" w:rsidRPr="00E01142" w:rsidRDefault="00E01142" w:rsidP="00E01142">
      <w:pPr>
        <w:spacing w:after="90" w:line="240" w:lineRule="auto"/>
        <w:ind w:left="720"/>
        <w:jc w:val="both"/>
        <w:rPr>
          <w:rFonts w:ascii="Lato" w:eastAsia="Times New Roman" w:hAnsi="Lato" w:cs="Times New Roman"/>
          <w:color w:val="000000"/>
          <w:sz w:val="24"/>
          <w:szCs w:val="24"/>
        </w:rPr>
      </w:pPr>
      <w:proofErr w:type="spellStart"/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Примеры</w:t>
      </w:r>
      <w:proofErr w:type="spellEnd"/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:</w:t>
      </w:r>
    </w:p>
    <w:p w:rsidR="00E01142" w:rsidRPr="00E01142" w:rsidRDefault="00E01142" w:rsidP="00E01142">
      <w:pPr>
        <w:numPr>
          <w:ilvl w:val="0"/>
          <w:numId w:val="10"/>
        </w:numPr>
        <w:spacing w:after="90" w:line="240" w:lineRule="auto"/>
        <w:ind w:firstLine="0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[кто?]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Кто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знает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этого человека,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тот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не любит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с ним много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говорить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(Помяловский).</w:t>
      </w:r>
    </w:p>
    <w:p w:rsidR="00E01142" w:rsidRPr="00E01142" w:rsidRDefault="00E01142" w:rsidP="00E01142">
      <w:pPr>
        <w:spacing w:after="0" w:line="240" w:lineRule="auto"/>
        <w:ind w:left="720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(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кто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– союз. слово), [мест.-подл.].</w:t>
      </w:r>
    </w:p>
    <w:p w:rsidR="00E01142" w:rsidRPr="00E01142" w:rsidRDefault="00E01142" w:rsidP="00E01142">
      <w:pPr>
        <w:numPr>
          <w:ilvl w:val="0"/>
          <w:numId w:val="10"/>
        </w:numPr>
        <w:spacing w:after="90" w:line="240" w:lineRule="auto"/>
        <w:ind w:firstLine="0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E01142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Всё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[что?],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что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полагалось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в дорогу,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было собрано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(Бабаевский).</w:t>
      </w:r>
    </w:p>
    <w:p w:rsidR="00E01142" w:rsidRPr="00E01142" w:rsidRDefault="00E01142" w:rsidP="00E01142">
      <w:pPr>
        <w:spacing w:after="0" w:line="240" w:lineRule="auto"/>
        <w:ind w:left="720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[мест.-подл., (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что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– союз. слово),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  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].</w:t>
      </w:r>
    </w:p>
    <w:p w:rsidR="00E01142" w:rsidRPr="00E01142" w:rsidRDefault="00E01142" w:rsidP="00E01142">
      <w:pPr>
        <w:numPr>
          <w:ilvl w:val="0"/>
          <w:numId w:val="10"/>
        </w:numPr>
        <w:spacing w:after="90" w:line="240" w:lineRule="auto"/>
        <w:ind w:firstLine="0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Его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забавляло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[что?],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что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он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староста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(Чехов).</w:t>
      </w:r>
    </w:p>
    <w:p w:rsidR="00E01142" w:rsidRPr="00E01142" w:rsidRDefault="00E01142" w:rsidP="00E01142">
      <w:pPr>
        <w:spacing w:after="0" w:line="240" w:lineRule="auto"/>
        <w:ind w:left="720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[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  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], (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что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– союз).</w:t>
      </w:r>
    </w:p>
    <w:p w:rsidR="00E01142" w:rsidRPr="00E01142" w:rsidRDefault="00E01142" w:rsidP="00E01142">
      <w:pPr>
        <w:spacing w:after="0" w:line="240" w:lineRule="auto"/>
        <w:jc w:val="right"/>
        <w:textAlignment w:val="baseline"/>
        <w:rPr>
          <w:rFonts w:ascii="Lato" w:eastAsia="Times New Roman" w:hAnsi="Lato" w:cs="Times New Roman"/>
          <w:b/>
          <w:bCs/>
          <w:i/>
          <w:iCs/>
          <w:color w:val="FF0000"/>
          <w:sz w:val="24"/>
          <w:szCs w:val="24"/>
          <w:lang w:val="ru-RU"/>
        </w:rPr>
      </w:pPr>
      <w:r w:rsidRPr="00E01142">
        <w:rPr>
          <w:rFonts w:ascii="Lato" w:eastAsia="Times New Roman" w:hAnsi="Lato" w:cs="Times New Roman"/>
          <w:b/>
          <w:bCs/>
          <w:i/>
          <w:iCs/>
          <w:color w:val="FF0000"/>
          <w:sz w:val="24"/>
          <w:szCs w:val="24"/>
          <w:lang w:val="ru-RU"/>
        </w:rPr>
        <w:lastRenderedPageBreak/>
        <w:t>Обратите внимание!</w:t>
      </w:r>
    </w:p>
    <w:p w:rsidR="00E01142" w:rsidRPr="00E01142" w:rsidRDefault="00E01142" w:rsidP="00E01142">
      <w:pPr>
        <w:shd w:val="clear" w:color="auto" w:fill="FFCCCC"/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E01142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1)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В ряде учебников принята иная классификация придаточных предложений. Согласно этой классификации придаточные, которые относятся к главному слову – местоимению и связаны с главным предложением с помощью союзных слов, называются местоимённо-определительными.</w:t>
      </w:r>
    </w:p>
    <w:p w:rsidR="00E01142" w:rsidRPr="00E01142" w:rsidRDefault="00E01142" w:rsidP="00E01142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Кто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знает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этого человека,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тот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не любит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 ним много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говорить;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Всё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,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полагалось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в дорогу,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было собрано.</w:t>
      </w:r>
    </w:p>
    <w:p w:rsidR="00E01142" w:rsidRPr="00E01142" w:rsidRDefault="00E01142" w:rsidP="00E01142">
      <w:pPr>
        <w:shd w:val="clear" w:color="auto" w:fill="FFCCCC"/>
        <w:spacing w:after="9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Придаточные, связанные с главным предложением при помощи союзов, будут относиться к изъяснительным придаточным.</w:t>
      </w:r>
    </w:p>
    <w:p w:rsidR="00E01142" w:rsidRPr="00E01142" w:rsidRDefault="00E01142" w:rsidP="00E01142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Известно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[что?],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слоны в диковинку у нас; Особенно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было страшно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то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,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над огнём, в дыму,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летали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голуби.</w:t>
      </w:r>
    </w:p>
    <w:p w:rsidR="00E01142" w:rsidRPr="00E01142" w:rsidRDefault="00E01142" w:rsidP="00E01142">
      <w:pPr>
        <w:shd w:val="clear" w:color="auto" w:fill="FFCCCC"/>
        <w:spacing w:after="9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К изъяснительным придаточным в этой классификации будут относиться и придаточные, распространяющие главные предложения, в которых нет подлежащего.</w:t>
      </w:r>
    </w:p>
    <w:p w:rsidR="00E01142" w:rsidRPr="00E01142" w:rsidRDefault="00E01142" w:rsidP="00E01142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Его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забавляло,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староста;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Нужно,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чтобы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байдара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поднимала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большой груз;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Андрея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поразило,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как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изменился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Степан Бояркин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за одни сутки.</w:t>
      </w:r>
    </w:p>
    <w:p w:rsidR="00E01142" w:rsidRPr="00E01142" w:rsidRDefault="00E01142" w:rsidP="00E01142">
      <w:pPr>
        <w:shd w:val="clear" w:color="auto" w:fill="FFCCCC"/>
        <w:spacing w:after="9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Вы можете пользоваться любой из представленных в школьных учебниках типологией придаточных предложений.</w:t>
      </w:r>
    </w:p>
    <w:p w:rsidR="00E01142" w:rsidRPr="00E01142" w:rsidRDefault="00E01142" w:rsidP="00E01142">
      <w:pPr>
        <w:shd w:val="clear" w:color="auto" w:fill="FFCCCC"/>
        <w:spacing w:after="9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E01142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2)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Достаточно распространённой является ошибка, когда к подлежащным (или местоимённо-определительным) придаточным относят все придаточные, которые прикрепляются к главному при помощи союзных слов и связаны с главным, имеющим указательные, определительные местоимения (</w:t>
      </w:r>
      <w:r w:rsidRPr="00E01142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тот, это, каждый</w:t>
      </w:r>
      <w:r w:rsidRPr="00E01142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и др.). Указательные, определительные и другие местоимения в главном предложении могут выполнять функцию указательных слов.</w:t>
      </w:r>
    </w:p>
    <w:p w:rsidR="00E01142" w:rsidRPr="00E01142" w:rsidRDefault="00E01142" w:rsidP="00E01142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Ср.: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Вот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тот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подарок,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что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обещал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ей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сделать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через десять лет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(Паустовский).</w:t>
      </w:r>
    </w:p>
    <w:p w:rsidR="00E01142" w:rsidRPr="00E01142" w:rsidRDefault="00E01142" w:rsidP="00E01142">
      <w:pPr>
        <w:shd w:val="clear" w:color="auto" w:fill="FFCCCC"/>
        <w:spacing w:after="9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E01142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В подлежащном (в местоимённо-определительном) придаточном местоимение является главным словом, оно самостоятельно выполняет роль подлежащего и не зависит от существительного.</w:t>
      </w:r>
    </w:p>
    <w:p w:rsidR="00E01142" w:rsidRPr="00E01142" w:rsidRDefault="00E01142" w:rsidP="00E01142">
      <w:pPr>
        <w:shd w:val="clear" w:color="auto" w:fill="FFCCCC"/>
        <w:spacing w:line="36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Однако порой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то,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что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на первый взгляд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выглядело простым и случайным,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оказывалось продуманным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до мелочей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(Крымов) – придаточное подлежащное;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Вот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тот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подарок,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обещал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ей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сделать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через десять лет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– придаточное определительное, ср.: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E01142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Вот подарок, что он обещал ей сделать через десять лет.</w:t>
      </w:r>
    </w:p>
    <w:p w:rsidR="005850BC" w:rsidRDefault="005850BC" w:rsidP="004E4B6C">
      <w:pPr>
        <w:spacing w:after="0" w:line="312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34495E"/>
          <w:kern w:val="36"/>
          <w:sz w:val="36"/>
          <w:szCs w:val="36"/>
          <w:lang w:val="ru-RU"/>
        </w:rPr>
      </w:pPr>
    </w:p>
    <w:p w:rsidR="004E4B6C" w:rsidRPr="004E4B6C" w:rsidRDefault="004E4B6C" w:rsidP="004E4B6C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4E4B6C" w:rsidRPr="004E4B6C" w:rsidRDefault="004E4B6C" w:rsidP="004E4B6C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b/>
          <w:bCs/>
          <w:color w:val="635274"/>
          <w:sz w:val="29"/>
          <w:szCs w:val="29"/>
          <w:shd w:val="clear" w:color="auto" w:fill="BEDDEE"/>
          <w:lang w:val="ru-RU"/>
        </w:rPr>
        <w:t>1.</w:t>
      </w:r>
      <w:r w:rsidRPr="004E4B6C">
        <w:rPr>
          <w:rFonts w:ascii="inherit" w:eastAsia="Times New Roman" w:hAnsi="inherit" w:cs="Times New Roman"/>
          <w:b/>
          <w:bCs/>
          <w:color w:val="635274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Вопросы: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 xml:space="preserve">придаточные </w:t>
      </w:r>
      <w:r w:rsidR="00E01142">
        <w:rPr>
          <w:rFonts w:ascii="inherit" w:eastAsia="Times New Roman" w:hAnsi="inherit" w:cs="Times New Roman"/>
          <w:color w:val="000000"/>
          <w:sz w:val="24"/>
          <w:szCs w:val="24"/>
          <w:lang/>
        </w:rPr>
        <w:t>дополните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льные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отвечают на вопросы дополнения, то есть на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вопросы косвенных падежей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.</w:t>
      </w:r>
    </w:p>
    <w:p w:rsidR="004E4B6C" w:rsidRPr="004E4B6C" w:rsidRDefault="004E4B6C" w:rsidP="004E4B6C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b/>
          <w:bCs/>
          <w:color w:val="635274"/>
          <w:sz w:val="29"/>
          <w:szCs w:val="29"/>
          <w:shd w:val="clear" w:color="auto" w:fill="BEDDEE"/>
          <w:lang w:val="ru-RU"/>
        </w:rPr>
        <w:t>2.</w:t>
      </w:r>
      <w:r w:rsidRPr="004E4B6C">
        <w:rPr>
          <w:rFonts w:ascii="inherit" w:eastAsia="Times New Roman" w:hAnsi="inherit" w:cs="Times New Roman"/>
          <w:b/>
          <w:bCs/>
          <w:color w:val="635274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Главное слово: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 xml:space="preserve">придаточные </w:t>
      </w:r>
      <w:r w:rsid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допол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нительные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распространяют главное слово в главном, нуждающееся в разъяснении и выраженное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глаголом, существительным, прилагательным, наречием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.</w:t>
      </w:r>
    </w:p>
    <w:p w:rsidR="004E4B6C" w:rsidRPr="004E4B6C" w:rsidRDefault="004E4B6C" w:rsidP="004E4B6C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b/>
          <w:bCs/>
          <w:color w:val="635274"/>
          <w:sz w:val="29"/>
          <w:szCs w:val="29"/>
          <w:shd w:val="clear" w:color="auto" w:fill="BEDDEE"/>
          <w:lang w:val="ru-RU"/>
        </w:rPr>
        <w:lastRenderedPageBreak/>
        <w:t>3.</w:t>
      </w:r>
      <w:r w:rsidRPr="004E4B6C">
        <w:rPr>
          <w:rFonts w:ascii="inherit" w:eastAsia="Times New Roman" w:hAnsi="inherit" w:cs="Times New Roman"/>
          <w:b/>
          <w:bCs/>
          <w:color w:val="635274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Средства связи: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 xml:space="preserve">придаточные </w:t>
      </w:r>
      <w:r w:rsid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допол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нительные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могут прикрепляться к главному предложению с помощью:</w:t>
      </w:r>
    </w:p>
    <w:p w:rsidR="004E4B6C" w:rsidRPr="004E4B6C" w:rsidRDefault="004E4B6C" w:rsidP="004E4B6C">
      <w:pPr>
        <w:numPr>
          <w:ilvl w:val="0"/>
          <w:numId w:val="2"/>
        </w:numPr>
        <w:spacing w:before="100" w:beforeAutospacing="1" w:after="100" w:afterAutospacing="1" w:line="312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союзов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что, чтобы, как, будто, как будто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), союза-частицы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ли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;</w:t>
      </w:r>
    </w:p>
    <w:p w:rsidR="004E4B6C" w:rsidRPr="004E4B6C" w:rsidRDefault="004E4B6C" w:rsidP="004E4B6C">
      <w:pPr>
        <w:numPr>
          <w:ilvl w:val="0"/>
          <w:numId w:val="2"/>
        </w:numPr>
        <w:spacing w:before="100" w:beforeAutospacing="1" w:after="100" w:afterAutospacing="1" w:line="312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союзных слов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кто, что, который, какой, чей, где, куда, откуда, когда, зачем, почему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и др.).</w:t>
      </w:r>
    </w:p>
    <w:p w:rsidR="004E4B6C" w:rsidRPr="004E4B6C" w:rsidRDefault="004E4B6C" w:rsidP="004E4B6C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В главном предложении могут быть (но не обязательно)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указательные слова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, выполняющие функцию дополнения.</w:t>
      </w:r>
    </w:p>
    <w:p w:rsidR="004E4B6C" w:rsidRPr="00E01142" w:rsidRDefault="004E4B6C" w:rsidP="004E4B6C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b/>
          <w:bCs/>
          <w:color w:val="635274"/>
          <w:sz w:val="29"/>
          <w:szCs w:val="29"/>
          <w:shd w:val="clear" w:color="auto" w:fill="BEDDEE"/>
          <w:lang w:val="ru-RU"/>
        </w:rPr>
        <w:t>4.</w:t>
      </w:r>
      <w:r w:rsidRPr="004E4B6C">
        <w:rPr>
          <w:rFonts w:ascii="inherit" w:eastAsia="Times New Roman" w:hAnsi="inherit" w:cs="Times New Roman"/>
          <w:b/>
          <w:bCs/>
          <w:color w:val="635274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Место в предложении: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 xml:space="preserve">обычно стоят после слова, к которому относятся. </w:t>
      </w: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Однако возможна и их позиция перед главным словом.</w:t>
      </w:r>
    </w:p>
    <w:p w:rsidR="004E4B6C" w:rsidRPr="00E01142" w:rsidRDefault="004E4B6C" w:rsidP="004E4B6C">
      <w:pPr>
        <w:spacing w:after="90" w:line="240" w:lineRule="auto"/>
        <w:ind w:left="72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E01142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Примеры:</w:t>
      </w:r>
    </w:p>
    <w:p w:rsidR="004E4B6C" w:rsidRPr="004E4B6C" w:rsidRDefault="004E4B6C" w:rsidP="004E4B6C">
      <w:pPr>
        <w:numPr>
          <w:ilvl w:val="0"/>
          <w:numId w:val="3"/>
        </w:numPr>
        <w:spacing w:after="90" w:line="240" w:lineRule="auto"/>
        <w:ind w:firstLine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Началось с того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[с чего?],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Колька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из озорства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отнял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у меня книжку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(Гайдар).</w:t>
      </w:r>
    </w:p>
    <w:p w:rsidR="004E4B6C" w:rsidRPr="004E4B6C" w:rsidRDefault="004E4B6C" w:rsidP="004E4B6C">
      <w:pPr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[гл. + указ. сл.], (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что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– союз).</w:t>
      </w:r>
    </w:p>
    <w:p w:rsidR="004E4B6C" w:rsidRPr="004E4B6C" w:rsidRDefault="004E4B6C" w:rsidP="004E4B6C">
      <w:pPr>
        <w:numPr>
          <w:ilvl w:val="0"/>
          <w:numId w:val="3"/>
        </w:numPr>
        <w:spacing w:after="90" w:line="240" w:lineRule="auto"/>
        <w:ind w:firstLine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У Слободкина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возникло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ощущение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[чего?],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будто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застыл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в беспредельном пространстве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(Тельпугов).</w:t>
      </w:r>
    </w:p>
    <w:p w:rsidR="004E4B6C" w:rsidRPr="004E4B6C" w:rsidRDefault="004E4B6C" w:rsidP="004E4B6C">
      <w:pPr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[   </w:t>
      </w:r>
      <w:proofErr w:type="spellStart"/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сущ</w:t>
      </w:r>
      <w:proofErr w:type="spellEnd"/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.], (</w:t>
      </w:r>
      <w:proofErr w:type="spellStart"/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будто</w:t>
      </w:r>
      <w:proofErr w:type="spellEnd"/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 xml:space="preserve"> – </w:t>
      </w:r>
      <w:proofErr w:type="spellStart"/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союз</w:t>
      </w:r>
      <w:proofErr w:type="spellEnd"/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).</w:t>
      </w:r>
    </w:p>
    <w:p w:rsidR="004E4B6C" w:rsidRPr="004E4B6C" w:rsidRDefault="004E4B6C" w:rsidP="004E4B6C">
      <w:pPr>
        <w:numPr>
          <w:ilvl w:val="0"/>
          <w:numId w:val="3"/>
        </w:numPr>
        <w:spacing w:after="90" w:line="240" w:lineRule="auto"/>
        <w:ind w:firstLine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Мы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наперебой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расспрашивали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кучеров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[о чём?],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смирные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ли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у них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лошади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(Маршак).</w:t>
      </w:r>
    </w:p>
    <w:p w:rsidR="004E4B6C" w:rsidRPr="004E4B6C" w:rsidRDefault="004E4B6C" w:rsidP="004E4B6C">
      <w:pPr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[</w:t>
      </w:r>
      <w:proofErr w:type="spellStart"/>
      <w:proofErr w:type="gramStart"/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гл</w:t>
      </w:r>
      <w:proofErr w:type="spellEnd"/>
      <w:proofErr w:type="gramEnd"/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.   ], (</w:t>
      </w:r>
      <w:proofErr w:type="spellStart"/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ли</w:t>
      </w:r>
      <w:proofErr w:type="spellEnd"/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 xml:space="preserve"> – </w:t>
      </w:r>
      <w:proofErr w:type="spellStart"/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союз-частица</w:t>
      </w:r>
      <w:proofErr w:type="spellEnd"/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).</w:t>
      </w:r>
    </w:p>
    <w:p w:rsidR="004E4B6C" w:rsidRPr="004E4B6C" w:rsidRDefault="004E4B6C" w:rsidP="004E4B6C">
      <w:pPr>
        <w:numPr>
          <w:ilvl w:val="0"/>
          <w:numId w:val="3"/>
        </w:numPr>
        <w:spacing w:after="90" w:line="240" w:lineRule="auto"/>
        <w:ind w:firstLine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– Юлия Дмитриевна,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начальник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велел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[что?],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чтобы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вы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никуда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не уходили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(Панова).</w:t>
      </w:r>
    </w:p>
    <w:p w:rsidR="004E4B6C" w:rsidRPr="004E4B6C" w:rsidRDefault="004E4B6C" w:rsidP="004E4B6C">
      <w:pPr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[</w:t>
      </w:r>
      <w:proofErr w:type="spellStart"/>
      <w:proofErr w:type="gramStart"/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гл</w:t>
      </w:r>
      <w:proofErr w:type="spellEnd"/>
      <w:proofErr w:type="gramEnd"/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.   ], (</w:t>
      </w:r>
      <w:proofErr w:type="spellStart"/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чтобы</w:t>
      </w:r>
      <w:proofErr w:type="spellEnd"/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 xml:space="preserve"> – </w:t>
      </w:r>
      <w:proofErr w:type="spellStart"/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союз</w:t>
      </w:r>
      <w:proofErr w:type="spellEnd"/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).</w:t>
      </w:r>
    </w:p>
    <w:p w:rsidR="004E4B6C" w:rsidRPr="004E4B6C" w:rsidRDefault="004E4B6C" w:rsidP="004E4B6C">
      <w:pPr>
        <w:numPr>
          <w:ilvl w:val="0"/>
          <w:numId w:val="3"/>
        </w:numPr>
        <w:spacing w:after="90" w:line="240" w:lineRule="auto"/>
        <w:ind w:firstLine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Сейчас уже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никто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не знает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[чего?],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откуда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в курских садах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пошла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«соловьиная школа»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(Песков).</w:t>
      </w:r>
    </w:p>
    <w:p w:rsidR="004E4B6C" w:rsidRPr="004E4B6C" w:rsidRDefault="004E4B6C" w:rsidP="004E4B6C">
      <w:pPr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[гл.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 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], (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откуда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– союз. слово).</w:t>
      </w:r>
    </w:p>
    <w:p w:rsidR="004E4B6C" w:rsidRPr="004E4B6C" w:rsidRDefault="004E4B6C" w:rsidP="004E4B6C">
      <w:pPr>
        <w:spacing w:after="0" w:line="312" w:lineRule="atLeast"/>
        <w:jc w:val="right"/>
        <w:textAlignment w:val="baseline"/>
        <w:rPr>
          <w:rFonts w:ascii="inherit" w:eastAsia="Times New Roman" w:hAnsi="inherit" w:cs="Times New Roman"/>
          <w:b/>
          <w:bCs/>
          <w:i/>
          <w:iCs/>
          <w:color w:val="FF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b/>
          <w:bCs/>
          <w:i/>
          <w:iCs/>
          <w:color w:val="FF0000"/>
          <w:sz w:val="24"/>
          <w:szCs w:val="24"/>
          <w:lang w:val="ru-RU"/>
        </w:rPr>
        <w:t>Обратите внимание!</w:t>
      </w:r>
    </w:p>
    <w:p w:rsidR="004E4B6C" w:rsidRPr="004E4B6C" w:rsidRDefault="004E4B6C" w:rsidP="004E4B6C">
      <w:pPr>
        <w:shd w:val="clear" w:color="auto" w:fill="FFCCCC"/>
        <w:spacing w:after="0" w:line="312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1)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В изъяснительных придаточных наиболее разнообразные средства связи (и союзы, и союзные слова), причём некоторые из них (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что, как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) могут быть как союзами, так и союзными словами. Поэтому в данном случае надо быть особенно внимательным при разграничении союзов и союзных слов (см. раздел 2, глава 2,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hyperlink r:id="rId5" w:tgtFrame="_blank" w:history="1">
        <w:r w:rsidRPr="004E4B6C">
          <w:rPr>
            <w:rFonts w:ascii="inherit" w:eastAsia="Times New Roman" w:hAnsi="inherit" w:cs="Times New Roman"/>
            <w:color w:val="BA3EC4"/>
            <w:sz w:val="24"/>
            <w:szCs w:val="24"/>
            <w:u w:val="single"/>
            <w:lang w:val="ru-RU"/>
          </w:rPr>
          <w:t>п. 2.1</w:t>
        </w:r>
      </w:hyperlink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).</w:t>
      </w:r>
    </w:p>
    <w:p w:rsidR="004E4B6C" w:rsidRPr="004E4B6C" w:rsidRDefault="004E4B6C" w:rsidP="004E4B6C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2)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Союз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чтобы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всегда имеет целевое значение, и он может использоваться в придаточном цели.</w:t>
      </w:r>
    </w:p>
    <w:p w:rsidR="004E4B6C" w:rsidRPr="004E4B6C" w:rsidRDefault="004E4B6C" w:rsidP="004E4B6C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Я разбудил Пашку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[зачем? с какой целью?],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чтобы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 не свалился с дрожек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. (А.П. Чехов)</w:t>
      </w:r>
    </w:p>
    <w:p w:rsidR="004E4B6C" w:rsidRPr="004E4B6C" w:rsidRDefault="004E4B6C" w:rsidP="004E4B6C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В придаточном изъяснительном также может использоваться этот союз, но вопрос от главного предложения к придаточному будет иным (вопросы косвенных падежей), а придаточные будут иметь значение желательности, возможности, необходимости.</w:t>
      </w:r>
    </w:p>
    <w:p w:rsidR="004E4B6C" w:rsidRPr="004E4B6C" w:rsidRDefault="004E4B6C" w:rsidP="004E4B6C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Ср.: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Елизавета Киевна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просила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[о чём?],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чтобы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ей самой разрешили отвезти его в большой лазарет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(А.Н. Толстой).</w:t>
      </w:r>
    </w:p>
    <w:p w:rsidR="004E4B6C" w:rsidRPr="004E4B6C" w:rsidRDefault="004E4B6C" w:rsidP="004E4B6C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lastRenderedPageBreak/>
        <w:t>3)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Сравнительные союзы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будто, как будто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могут использоваться в придаточных сравнительных.</w:t>
      </w:r>
    </w:p>
    <w:p w:rsidR="004E4B6C" w:rsidRPr="00BE79F0" w:rsidRDefault="004E4B6C" w:rsidP="004E4B6C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Там что-то дрожит, мерцает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[как? подобно чему?],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будто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звездочка на ветвях запуталась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(Маршак).</w:t>
      </w:r>
    </w:p>
    <w:p w:rsidR="004E4B6C" w:rsidRPr="004E4B6C" w:rsidRDefault="004E4B6C" w:rsidP="004E4B6C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Если они употребляются в придаточных изъяснительных, то от главного слова задается вопрос косвенного падежа, а само придаточное содержит сообщение с оттенком неуверенности, предположительности.</w:t>
      </w:r>
    </w:p>
    <w:p w:rsidR="004E4B6C" w:rsidRPr="004E4B6C" w:rsidRDefault="004E4B6C" w:rsidP="004E4B6C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Ср.: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Говорят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[что?],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будто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 принимал на себя не одни адъютантские обязанности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(Тургенев).</w:t>
      </w:r>
    </w:p>
    <w:p w:rsidR="004E4B6C" w:rsidRPr="004E4B6C" w:rsidRDefault="004E4B6C" w:rsidP="004E4B6C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4)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Союзы и союзные слова обычно стоят в начале придаточного предложения. Именно по ним достаточно легко определить границу между главным и придаточным предложениями. Но союз-частица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ли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всегда находится в середине придаточного изъяснительного.</w:t>
      </w:r>
    </w:p>
    <w:p w:rsidR="004E4B6C" w:rsidRPr="004E4B6C" w:rsidRDefault="004E4B6C" w:rsidP="004E4B6C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Я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не знаю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[чего?],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придёт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ли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сюда;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Я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не знаю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[чего?],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был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ли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здесь.</w:t>
      </w:r>
    </w:p>
    <w:p w:rsidR="004E4B6C" w:rsidRPr="004E4B6C" w:rsidRDefault="004E4B6C" w:rsidP="004E4B6C">
      <w:pPr>
        <w:shd w:val="clear" w:color="auto" w:fill="FFCCCC"/>
        <w:spacing w:line="312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Поэтому такие сложноподчинённые предложения часто путают с бессоюзными сложными предложениями. Кроме того, положение союза-частицы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ли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4E4B6C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надо учитывать при расстановке знаков препинания (запятая ставится не перед ним, а в начале придаточного предложения).</w:t>
      </w:r>
    </w:p>
    <w:p w:rsidR="004E4B6C" w:rsidRPr="004E4B6C" w:rsidRDefault="003405FC" w:rsidP="004E4B6C">
      <w:pPr>
        <w:spacing w:after="0" w:line="312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3405FC">
        <w:rPr>
          <w:rFonts w:ascii="inherit" w:eastAsia="Times New Roman" w:hAnsi="inherit" w:cs="Times New Roman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sectPr w:rsidR="004E4B6C" w:rsidRPr="004E4B6C" w:rsidSect="00340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1722"/>
    <w:multiLevelType w:val="multilevel"/>
    <w:tmpl w:val="7562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30D0F"/>
    <w:multiLevelType w:val="multilevel"/>
    <w:tmpl w:val="4034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26B23"/>
    <w:multiLevelType w:val="multilevel"/>
    <w:tmpl w:val="BB0E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67B9E"/>
    <w:multiLevelType w:val="multilevel"/>
    <w:tmpl w:val="6406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D1651"/>
    <w:multiLevelType w:val="multilevel"/>
    <w:tmpl w:val="BD6A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D3758"/>
    <w:multiLevelType w:val="multilevel"/>
    <w:tmpl w:val="D288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314B1"/>
    <w:multiLevelType w:val="multilevel"/>
    <w:tmpl w:val="E19A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FA445C"/>
    <w:multiLevelType w:val="multilevel"/>
    <w:tmpl w:val="8572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974A4"/>
    <w:multiLevelType w:val="multilevel"/>
    <w:tmpl w:val="3180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681FEF"/>
    <w:multiLevelType w:val="multilevel"/>
    <w:tmpl w:val="8B7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71F3"/>
    <w:rsid w:val="00155582"/>
    <w:rsid w:val="0016157C"/>
    <w:rsid w:val="003405FC"/>
    <w:rsid w:val="004E4B6C"/>
    <w:rsid w:val="00573FA5"/>
    <w:rsid w:val="005850BC"/>
    <w:rsid w:val="0068642C"/>
    <w:rsid w:val="00731972"/>
    <w:rsid w:val="0077325E"/>
    <w:rsid w:val="007A7275"/>
    <w:rsid w:val="007E4DD7"/>
    <w:rsid w:val="008F71F3"/>
    <w:rsid w:val="00A85206"/>
    <w:rsid w:val="00A87785"/>
    <w:rsid w:val="00B51BA4"/>
    <w:rsid w:val="00BA188A"/>
    <w:rsid w:val="00BD688A"/>
    <w:rsid w:val="00BE79F0"/>
    <w:rsid w:val="00CF0F4E"/>
    <w:rsid w:val="00D51AEA"/>
    <w:rsid w:val="00D6757C"/>
    <w:rsid w:val="00E01142"/>
    <w:rsid w:val="00E7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55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3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3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4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297">
          <w:marLeft w:val="0"/>
          <w:marRight w:val="0"/>
          <w:marTop w:val="45"/>
          <w:marBottom w:val="225"/>
          <w:divBdr>
            <w:top w:val="dotted" w:sz="18" w:space="4" w:color="808080"/>
            <w:left w:val="none" w:sz="0" w:space="4" w:color="auto"/>
            <w:bottom w:val="dotted" w:sz="18" w:space="4" w:color="808080"/>
            <w:right w:val="none" w:sz="0" w:space="4" w:color="auto"/>
          </w:divBdr>
          <w:divsChild>
            <w:div w:id="20485264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08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410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04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6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3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80939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9D9D9"/>
                                <w:left w:val="single" w:sz="6" w:space="0" w:color="D9D9D9"/>
                                <w:bottom w:val="single" w:sz="6" w:space="0" w:color="D9D9D9"/>
                                <w:right w:val="single" w:sz="6" w:space="0" w:color="D9D9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6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9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16A085"/>
                    <w:right w:val="none" w:sz="0" w:space="0" w:color="auto"/>
                  </w:divBdr>
                </w:div>
              </w:divsChild>
            </w:div>
            <w:div w:id="3049425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967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634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7" w:color="ECF0F1"/>
                        <w:left w:val="none" w:sz="0" w:space="0" w:color="auto"/>
                        <w:bottom w:val="none" w:sz="0" w:space="7" w:color="auto"/>
                        <w:right w:val="none" w:sz="0" w:space="0" w:color="auto"/>
                      </w:divBdr>
                      <w:divsChild>
                        <w:div w:id="15163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226280">
                      <w:marLeft w:val="0"/>
                      <w:marRight w:val="0"/>
                      <w:marTop w:val="45"/>
                      <w:marBottom w:val="225"/>
                      <w:divBdr>
                        <w:top w:val="dotted" w:sz="18" w:space="4" w:color="808080"/>
                        <w:left w:val="none" w:sz="0" w:space="4" w:color="auto"/>
                        <w:bottom w:val="dotted" w:sz="18" w:space="4" w:color="808080"/>
                        <w:right w:val="none" w:sz="0" w:space="4" w:color="auto"/>
                      </w:divBdr>
                      <w:divsChild>
                        <w:div w:id="5190462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111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66930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59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74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7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213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277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3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8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8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5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3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971">
          <w:marLeft w:val="0"/>
          <w:marRight w:val="0"/>
          <w:marTop w:val="45"/>
          <w:marBottom w:val="225"/>
          <w:divBdr>
            <w:top w:val="dotted" w:sz="18" w:space="4" w:color="808080"/>
            <w:left w:val="none" w:sz="0" w:space="4" w:color="auto"/>
            <w:bottom w:val="dotted" w:sz="18" w:space="4" w:color="808080"/>
            <w:right w:val="none" w:sz="0" w:space="4" w:color="auto"/>
          </w:divBdr>
          <w:divsChild>
            <w:div w:id="17439150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98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4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96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17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cey.net/free/4-russkii_yazyk/40-kurs_russkogo_yazyka_sintaksis_i_punktuaciya/stages/735-21_obschaya_harakteristika_slozhnopodchinennyh_predlozhen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pcshop.me</dc:creator>
  <cp:lastModifiedBy>pc</cp:lastModifiedBy>
  <cp:revision>2</cp:revision>
  <dcterms:created xsi:type="dcterms:W3CDTF">2020-03-29T20:44:00Z</dcterms:created>
  <dcterms:modified xsi:type="dcterms:W3CDTF">2020-03-29T20:44:00Z</dcterms:modified>
</cp:coreProperties>
</file>